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18F" w:rsidRPr="008B4240" w:rsidRDefault="0011318F" w:rsidP="0011318F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color w:val="000000"/>
          <w:sz w:val="24"/>
          <w:szCs w:val="24"/>
          <w:lang w:val="uk-UA" w:eastAsia="uk-UA"/>
        </w:rPr>
      </w:pPr>
      <w:r w:rsidRPr="008B4240">
        <w:rPr>
          <w:rFonts w:ascii="Courier New" w:eastAsia="MS Mincho" w:hAnsi="Courier New" w:cs="Courier New"/>
          <w:b/>
          <w:color w:val="000000"/>
          <w:sz w:val="24"/>
          <w:szCs w:val="24"/>
          <w:lang w:val="uk-UA" w:eastAsia="uk-UA"/>
        </w:rPr>
        <w:t xml:space="preserve">                                                           </w:t>
      </w:r>
    </w:p>
    <w:p w:rsidR="0011318F" w:rsidRPr="008B4240" w:rsidRDefault="0011318F" w:rsidP="0011318F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24"/>
          <w:szCs w:val="24"/>
          <w:lang w:val="uk-UA" w:eastAsia="uk-UA"/>
        </w:rPr>
      </w:pPr>
      <w:r>
        <w:rPr>
          <w:rFonts w:ascii="Courier New" w:eastAsia="MS Mincho" w:hAnsi="Courier New" w:cs="Courier New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18240ECB" wp14:editId="3A583A78">
            <wp:extent cx="515620" cy="59880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8F" w:rsidRPr="008B4240" w:rsidRDefault="0011318F" w:rsidP="00113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240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11318F" w:rsidRPr="008B4240" w:rsidRDefault="0011318F" w:rsidP="0011318F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MS Mincho" w:hAnsi="Times New Roman"/>
          <w:b/>
          <w:bCs/>
          <w:sz w:val="28"/>
          <w:szCs w:val="28"/>
          <w:lang w:val="uk-UA" w:eastAsia="uk-UA"/>
        </w:rPr>
      </w:pPr>
      <w:r w:rsidRPr="008B4240">
        <w:rPr>
          <w:rFonts w:ascii="Times New Roman" w:eastAsia="MS Mincho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11318F" w:rsidRPr="008B4240" w:rsidRDefault="0011318F" w:rsidP="00113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ПЯТДЕСЯТ ТРЕТЯ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 xml:space="preserve">  СЕСІЯ    СЬОМОГО    СКЛИКАННЯ</w:t>
      </w:r>
    </w:p>
    <w:p w:rsidR="0011318F" w:rsidRPr="008B4240" w:rsidRDefault="0011318F" w:rsidP="0011318F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24"/>
          <w:szCs w:val="24"/>
          <w:lang w:val="uk-UA" w:eastAsia="uk-UA"/>
        </w:rPr>
      </w:pPr>
    </w:p>
    <w:p w:rsidR="0011318F" w:rsidRPr="008B4240" w:rsidRDefault="0011318F" w:rsidP="0011318F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b/>
          <w:color w:val="000000"/>
          <w:sz w:val="28"/>
          <w:szCs w:val="28"/>
          <w:lang w:eastAsia="uk-UA"/>
        </w:rPr>
      </w:pPr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 xml:space="preserve">Р  І   Ш   Е   Н  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>Н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8"/>
          <w:szCs w:val="28"/>
          <w:lang w:val="uk-UA" w:eastAsia="uk-UA"/>
        </w:rPr>
        <w:t xml:space="preserve">   Я</w:t>
      </w:r>
    </w:p>
    <w:p w:rsidR="0011318F" w:rsidRPr="008B4240" w:rsidRDefault="0011318F" w:rsidP="0011318F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11318F" w:rsidRPr="008B4240" w:rsidRDefault="0011318F" w:rsidP="0011318F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</w:pP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>«</w:t>
      </w:r>
      <w:r w:rsidRPr="00E71A3F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24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» </w:t>
      </w:r>
      <w:proofErr w:type="spellStart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eastAsia="uk-UA"/>
        </w:rPr>
        <w:t>січня</w:t>
      </w:r>
      <w:proofErr w:type="spellEnd"/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 201</w:t>
      </w:r>
      <w:r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>9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 xml:space="preserve"> року </w:t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color w:val="000000"/>
          <w:sz w:val="24"/>
          <w:szCs w:val="24"/>
          <w:lang w:val="uk-UA" w:eastAsia="uk-UA"/>
        </w:rPr>
        <w:tab/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 xml:space="preserve">                 № </w:t>
      </w:r>
      <w:r w:rsidRPr="00DF5D95">
        <w:rPr>
          <w:rFonts w:ascii="Times New Roman" w:eastAsia="MS Mincho" w:hAnsi="Times New Roman"/>
          <w:b/>
          <w:sz w:val="24"/>
          <w:szCs w:val="24"/>
          <w:lang w:eastAsia="uk-UA"/>
        </w:rPr>
        <w:t>2894</w:t>
      </w:r>
      <w:r w:rsidRPr="00E71A3F"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 </w:t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 xml:space="preserve">- </w:t>
      </w:r>
      <w:r>
        <w:rPr>
          <w:rFonts w:ascii="Times New Roman" w:eastAsia="MS Mincho" w:hAnsi="Times New Roman"/>
          <w:b/>
          <w:sz w:val="24"/>
          <w:szCs w:val="24"/>
          <w:lang w:val="uk-UA" w:eastAsia="uk-UA"/>
        </w:rPr>
        <w:t>53</w:t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 xml:space="preserve"> -</w:t>
      </w:r>
      <w:r w:rsidRPr="008B4240">
        <w:rPr>
          <w:rFonts w:ascii="Times New Roman" w:eastAsia="MS Mincho" w:hAnsi="Times New Roman"/>
          <w:b/>
          <w:sz w:val="24"/>
          <w:szCs w:val="24"/>
          <w:lang w:val="en-US" w:eastAsia="uk-UA"/>
        </w:rPr>
        <w:t>V</w:t>
      </w:r>
      <w:r w:rsidRPr="008B4240">
        <w:rPr>
          <w:rFonts w:ascii="Times New Roman" w:eastAsia="MS Mincho" w:hAnsi="Times New Roman"/>
          <w:b/>
          <w:sz w:val="24"/>
          <w:szCs w:val="24"/>
          <w:lang w:val="uk-UA" w:eastAsia="uk-UA"/>
        </w:rPr>
        <w:t>ІІ</w:t>
      </w:r>
    </w:p>
    <w:p w:rsidR="0011318F" w:rsidRPr="008B4240" w:rsidRDefault="0011318F" w:rsidP="0011318F">
      <w:pPr>
        <w:spacing w:after="0" w:line="240" w:lineRule="auto"/>
        <w:rPr>
          <w:rFonts w:ascii="Times New Roman" w:hAnsi="Times New Roman"/>
          <w:sz w:val="26"/>
          <w:szCs w:val="24"/>
          <w:lang w:val="uk-UA" w:eastAsia="ru-RU"/>
        </w:rPr>
      </w:pPr>
      <w:r w:rsidRPr="008B4240">
        <w:rPr>
          <w:rFonts w:ascii="Times New Roman" w:hAnsi="Times New Roman"/>
          <w:sz w:val="26"/>
          <w:szCs w:val="24"/>
          <w:lang w:val="uk-UA" w:eastAsia="ru-RU"/>
        </w:rPr>
        <w:tab/>
        <w:t xml:space="preserve">          </w:t>
      </w:r>
      <w:r w:rsidRPr="008B4240">
        <w:rPr>
          <w:rFonts w:ascii="Times New Roman" w:hAnsi="Times New Roman"/>
          <w:sz w:val="26"/>
          <w:szCs w:val="24"/>
          <w:lang w:val="uk-UA" w:eastAsia="ru-RU"/>
        </w:rPr>
        <w:tab/>
      </w:r>
      <w:r w:rsidRPr="008B4240">
        <w:rPr>
          <w:rFonts w:ascii="Times New Roman" w:hAnsi="Times New Roman"/>
          <w:sz w:val="26"/>
          <w:szCs w:val="24"/>
          <w:lang w:val="uk-UA" w:eastAsia="ru-RU"/>
        </w:rPr>
        <w:tab/>
      </w:r>
    </w:p>
    <w:p w:rsidR="0011318F" w:rsidRPr="004701CA" w:rsidRDefault="0011318F" w:rsidP="0011318F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80"/>
        <w:textAlignment w:val="baseline"/>
        <w:outlineLvl w:val="0"/>
        <w:rPr>
          <w:rFonts w:ascii="Times New Roman" w:eastAsia="MS Mincho" w:hAnsi="Times New Roman"/>
          <w:b/>
          <w:color w:val="000000"/>
          <w:sz w:val="26"/>
          <w:szCs w:val="26"/>
          <w:lang w:val="uk-UA" w:eastAsia="uk-UA"/>
        </w:rPr>
      </w:pPr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val="uk-UA" w:eastAsia="uk-UA"/>
        </w:rPr>
        <w:t>Про заслуховування інформації</w:t>
      </w:r>
    </w:p>
    <w:p w:rsidR="0011318F" w:rsidRPr="004701CA" w:rsidRDefault="0011318F" w:rsidP="0011318F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80"/>
        <w:textAlignment w:val="baseline"/>
        <w:outlineLvl w:val="0"/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</w:pPr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val="uk-UA" w:eastAsia="uk-UA"/>
        </w:rPr>
        <w:t xml:space="preserve">щодо </w:t>
      </w:r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>стан</w:t>
      </w:r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val="uk-UA" w:eastAsia="uk-UA"/>
        </w:rPr>
        <w:t>у міських</w:t>
      </w:r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 xml:space="preserve"> </w:t>
      </w:r>
      <w:proofErr w:type="spellStart"/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>захисних</w:t>
      </w:r>
      <w:proofErr w:type="spellEnd"/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 xml:space="preserve"> </w:t>
      </w:r>
      <w:proofErr w:type="spellStart"/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>споруд</w:t>
      </w:r>
      <w:proofErr w:type="spellEnd"/>
      <w:r w:rsidRPr="004701CA">
        <w:rPr>
          <w:rFonts w:ascii="Times New Roman" w:eastAsia="MS Mincho" w:hAnsi="Times New Roman"/>
          <w:b/>
          <w:color w:val="000000"/>
          <w:sz w:val="26"/>
          <w:szCs w:val="26"/>
          <w:lang w:eastAsia="uk-UA"/>
        </w:rPr>
        <w:t xml:space="preserve"> </w:t>
      </w:r>
    </w:p>
    <w:p w:rsidR="0011318F" w:rsidRPr="004701CA" w:rsidRDefault="0011318F" w:rsidP="0011318F">
      <w:pPr>
        <w:spacing w:after="0" w:line="240" w:lineRule="auto"/>
        <w:rPr>
          <w:rFonts w:ascii="Times New Roman" w:hAnsi="Times New Roman"/>
          <w:b/>
          <w:sz w:val="26"/>
          <w:szCs w:val="26"/>
          <w:lang w:val="uk-UA" w:eastAsia="uk-UA"/>
        </w:rPr>
      </w:pPr>
      <w:proofErr w:type="spellStart"/>
      <w:r w:rsidRPr="004701CA">
        <w:rPr>
          <w:rFonts w:ascii="Times New Roman" w:hAnsi="Times New Roman"/>
          <w:b/>
          <w:sz w:val="26"/>
          <w:szCs w:val="26"/>
          <w:lang w:eastAsia="uk-UA"/>
        </w:rPr>
        <w:t>цивільного</w:t>
      </w:r>
      <w:proofErr w:type="spellEnd"/>
      <w:r w:rsidRPr="004701CA">
        <w:rPr>
          <w:rFonts w:ascii="Times New Roman" w:hAnsi="Times New Roman"/>
          <w:b/>
          <w:sz w:val="26"/>
          <w:szCs w:val="26"/>
          <w:lang w:eastAsia="uk-UA"/>
        </w:rPr>
        <w:t xml:space="preserve"> </w:t>
      </w:r>
      <w:proofErr w:type="spellStart"/>
      <w:r w:rsidRPr="004701CA">
        <w:rPr>
          <w:rFonts w:ascii="Times New Roman" w:hAnsi="Times New Roman"/>
          <w:b/>
          <w:sz w:val="26"/>
          <w:szCs w:val="26"/>
          <w:lang w:eastAsia="uk-UA"/>
        </w:rPr>
        <w:t>захисту</w:t>
      </w:r>
      <w:proofErr w:type="spellEnd"/>
      <w:r w:rsidRPr="004701CA">
        <w:rPr>
          <w:rFonts w:ascii="Times New Roman" w:hAnsi="Times New Roman"/>
          <w:b/>
          <w:sz w:val="26"/>
          <w:szCs w:val="26"/>
          <w:lang w:val="uk-UA" w:eastAsia="uk-UA"/>
        </w:rPr>
        <w:t xml:space="preserve"> населення</w:t>
      </w:r>
    </w:p>
    <w:p w:rsidR="0011318F" w:rsidRPr="008B4240" w:rsidRDefault="0011318F" w:rsidP="0011318F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textAlignment w:val="baseline"/>
        <w:outlineLvl w:val="0"/>
        <w:rPr>
          <w:rFonts w:ascii="Times New Roman" w:eastAsia="MS Mincho" w:hAnsi="Times New Roman"/>
          <w:color w:val="000000"/>
          <w:sz w:val="28"/>
          <w:szCs w:val="28"/>
          <w:lang w:val="uk-UA" w:eastAsia="uk-UA"/>
        </w:rPr>
      </w:pPr>
      <w:r w:rsidRPr="008B4240">
        <w:rPr>
          <w:rFonts w:ascii="Times New Roman" w:eastAsia="MS Mincho" w:hAnsi="Times New Roman"/>
          <w:color w:val="000000"/>
          <w:sz w:val="28"/>
          <w:szCs w:val="28"/>
          <w:lang w:val="uk-UA" w:eastAsia="uk-UA"/>
        </w:rPr>
        <w:tab/>
      </w:r>
    </w:p>
    <w:p w:rsidR="0011318F" w:rsidRPr="008B4240" w:rsidRDefault="0011318F" w:rsidP="0011318F">
      <w:pPr>
        <w:tabs>
          <w:tab w:val="left" w:pos="-368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Заслухавши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щодо стану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міських 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>захисних споруд цивільного захисту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населення</w:t>
      </w: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>, керуючись Законом України «Про місцеве самоврядування в Україні»,  міська рада</w:t>
      </w:r>
    </w:p>
    <w:p w:rsidR="0011318F" w:rsidRPr="008B4240" w:rsidRDefault="0011318F" w:rsidP="0011318F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11318F" w:rsidRPr="008B4240" w:rsidRDefault="0011318F" w:rsidP="0011318F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11318F" w:rsidRPr="008B4240" w:rsidRDefault="0011318F" w:rsidP="0011318F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11318F" w:rsidRDefault="0011318F" w:rsidP="0011318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1.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 щодо стану міських захисних споруд цивільного захисту (ЗСЦЗ)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населення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взяти до відома.</w:t>
      </w:r>
    </w:p>
    <w:p w:rsidR="0011318F" w:rsidRPr="008B4240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2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EE7B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Відділу з питань надзвичайних ситуацій, цивільного захисту населення та оборонно-мобілізаційної роботи за</w:t>
      </w:r>
      <w:r>
        <w:rPr>
          <w:rFonts w:ascii="Times New Roman" w:hAnsi="Times New Roman"/>
          <w:sz w:val="28"/>
          <w:szCs w:val="28"/>
          <w:lang w:val="uk-UA" w:eastAsia="ru-RU"/>
        </w:rPr>
        <w:t>вершити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проведення у 201</w:t>
      </w: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році інвентаризації ЗСЦЗ (ПРУ та сховищ), як об’єктів нерухомого майна.</w:t>
      </w:r>
    </w:p>
    <w:p w:rsidR="0011318F" w:rsidRPr="008B4240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r w:rsidRPr="00EE7B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Керівникам підприємств, установ та організацій міста Буча,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балансі яких перебувають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ЗСЦЗ, найпростіш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укритт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ru-RU"/>
        </w:rPr>
        <w:t>споруди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подвійного призначення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 xml:space="preserve"> вжити заходів щодо приведення їх до стану готовності для тимчасового укриття працівників та населення в особливий період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термін до 01.04.2019 року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318F" w:rsidRPr="008B4240" w:rsidRDefault="0011318F" w:rsidP="0011318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B4240">
        <w:rPr>
          <w:rFonts w:ascii="Times New Roman" w:hAnsi="Times New Roman"/>
          <w:b/>
          <w:sz w:val="28"/>
          <w:szCs w:val="28"/>
          <w:lang w:val="uk-UA" w:eastAsia="ru-RU"/>
        </w:rPr>
        <w:tab/>
        <w:t>4.</w:t>
      </w:r>
      <w:r w:rsidRPr="00EE7B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постійні комісії з питань  з питань охорони  здоров’я, соціального захисту, екології та проблем Чорнобильської катастрофи та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1318F" w:rsidRPr="008B4240" w:rsidRDefault="0011318F" w:rsidP="0011318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Pr="008B4240" w:rsidRDefault="0011318F" w:rsidP="0011318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Pr="00562D4A" w:rsidRDefault="0011318F" w:rsidP="0011318F">
      <w:pPr>
        <w:tabs>
          <w:tab w:val="left" w:pos="-368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>Міський</w:t>
      </w:r>
      <w:proofErr w:type="spellEnd"/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голова    </w:t>
      </w:r>
      <w:r w:rsidRPr="00EE7B9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А.П.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>Федорук</w:t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Pr="008B4240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</w:p>
    <w:p w:rsidR="0011318F" w:rsidRDefault="0011318F" w:rsidP="0011318F">
      <w:pPr>
        <w:tabs>
          <w:tab w:val="left" w:pos="-3686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6640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11318F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E66402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</w:p>
    <w:p w:rsidR="0011318F" w:rsidRPr="00DF5D95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  </w:t>
      </w:r>
    </w:p>
    <w:p w:rsidR="0011318F" w:rsidRPr="00CE6823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DF5D95">
        <w:rPr>
          <w:rFonts w:ascii="Times New Roman" w:hAnsi="Times New Roman"/>
          <w:sz w:val="28"/>
          <w:szCs w:val="28"/>
          <w:lang w:eastAsia="ru-RU"/>
        </w:rPr>
        <w:tab/>
      </w:r>
      <w:r w:rsidRPr="00DF5D95"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Pr="00E6640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E6823">
        <w:rPr>
          <w:rFonts w:ascii="Times New Roman" w:hAnsi="Times New Roman"/>
          <w:b/>
          <w:sz w:val="26"/>
          <w:szCs w:val="26"/>
          <w:lang w:val="uk-UA" w:eastAsia="ru-RU"/>
        </w:rPr>
        <w:t xml:space="preserve">Додаток </w:t>
      </w:r>
    </w:p>
    <w:p w:rsidR="0011318F" w:rsidRPr="00CE6823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CE6823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                 </w:t>
      </w:r>
      <w:r w:rsidRPr="00CE6823">
        <w:rPr>
          <w:rFonts w:ascii="Times New Roman" w:hAnsi="Times New Roman"/>
          <w:b/>
          <w:sz w:val="26"/>
          <w:szCs w:val="26"/>
          <w:lang w:val="uk-UA" w:eastAsia="ru-RU"/>
        </w:rPr>
        <w:t>до рішення</w:t>
      </w:r>
    </w:p>
    <w:p w:rsidR="0011318F" w:rsidRPr="00E66402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66402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    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Бучанської міської ради</w:t>
      </w:r>
    </w:p>
    <w:p w:rsidR="0011318F" w:rsidRPr="00E66402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ab/>
        <w:t xml:space="preserve">         № </w:t>
      </w:r>
      <w:r w:rsidRPr="0011318F">
        <w:rPr>
          <w:rFonts w:ascii="Times New Roman" w:hAnsi="Times New Roman"/>
          <w:b/>
          <w:sz w:val="26"/>
          <w:szCs w:val="26"/>
          <w:lang w:eastAsia="ru-RU"/>
        </w:rPr>
        <w:t xml:space="preserve">2894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-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>53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–</w:t>
      </w:r>
      <w:r w:rsidRPr="00E66402">
        <w:rPr>
          <w:rFonts w:ascii="Times New Roman" w:hAnsi="Times New Roman"/>
          <w:b/>
          <w:sz w:val="26"/>
          <w:szCs w:val="26"/>
          <w:lang w:val="en-US" w:eastAsia="ru-RU"/>
        </w:rPr>
        <w:t>V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ІІ</w:t>
      </w:r>
    </w:p>
    <w:p w:rsidR="0011318F" w:rsidRPr="00E66402" w:rsidRDefault="0011318F" w:rsidP="0011318F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ab/>
        <w:t xml:space="preserve">         від « </w:t>
      </w:r>
      <w:r w:rsidRPr="0011318F">
        <w:rPr>
          <w:rFonts w:ascii="Times New Roman" w:hAnsi="Times New Roman"/>
          <w:b/>
          <w:sz w:val="26"/>
          <w:szCs w:val="26"/>
          <w:lang w:eastAsia="ru-RU"/>
        </w:rPr>
        <w:t xml:space="preserve">24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» січня 201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>9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 року</w:t>
      </w:r>
    </w:p>
    <w:p w:rsidR="0011318F" w:rsidRPr="00E66402" w:rsidRDefault="0011318F" w:rsidP="0011318F">
      <w:pPr>
        <w:tabs>
          <w:tab w:val="left" w:pos="-3686"/>
        </w:tabs>
        <w:spacing w:after="0" w:line="240" w:lineRule="auto"/>
        <w:ind w:left="6660"/>
        <w:rPr>
          <w:rFonts w:ascii="Times New Roman" w:hAnsi="Times New Roman"/>
          <w:b/>
          <w:sz w:val="26"/>
          <w:szCs w:val="26"/>
          <w:lang w:val="uk-UA" w:eastAsia="ru-RU"/>
        </w:rPr>
      </w:pPr>
    </w:p>
    <w:p w:rsidR="0011318F" w:rsidRPr="00023157" w:rsidRDefault="0011318F" w:rsidP="0011318F">
      <w:pPr>
        <w:keepNext/>
        <w:shd w:val="clear" w:color="auto" w:fill="FFFFFF"/>
        <w:spacing w:before="240" w:after="60" w:line="240" w:lineRule="auto"/>
        <w:ind w:left="86" w:right="-180"/>
        <w:jc w:val="center"/>
        <w:outlineLvl w:val="3"/>
        <w:rPr>
          <w:rFonts w:ascii="Times New Roman" w:hAnsi="Times New Roman"/>
          <w:b/>
          <w:bCs/>
          <w:sz w:val="26"/>
          <w:szCs w:val="26"/>
          <w:lang w:val="uk-UA" w:eastAsia="ru-RU"/>
        </w:rPr>
      </w:pPr>
      <w:r w:rsidRPr="00023157">
        <w:rPr>
          <w:rFonts w:ascii="Times New Roman" w:hAnsi="Times New Roman"/>
          <w:b/>
          <w:bCs/>
          <w:sz w:val="26"/>
          <w:szCs w:val="26"/>
          <w:lang w:val="uk-UA" w:eastAsia="ru-RU"/>
        </w:rPr>
        <w:t>ІНФОРМАЦІЯ</w:t>
      </w:r>
    </w:p>
    <w:p w:rsidR="0011318F" w:rsidRPr="00023157" w:rsidRDefault="0011318F" w:rsidP="0011318F">
      <w:pPr>
        <w:spacing w:after="0" w:line="240" w:lineRule="auto"/>
        <w:jc w:val="center"/>
        <w:outlineLvl w:val="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23157">
        <w:rPr>
          <w:rFonts w:ascii="Times New Roman" w:hAnsi="Times New Roman"/>
          <w:b/>
          <w:sz w:val="26"/>
          <w:szCs w:val="26"/>
          <w:lang w:val="uk-UA" w:eastAsia="ru-RU"/>
        </w:rPr>
        <w:t xml:space="preserve">щодо </w:t>
      </w:r>
      <w:r w:rsidRPr="00023157">
        <w:rPr>
          <w:rFonts w:ascii="Times New Roman" w:hAnsi="Times New Roman"/>
          <w:b/>
          <w:sz w:val="28"/>
          <w:szCs w:val="28"/>
          <w:lang w:val="uk-UA" w:eastAsia="ru-RU"/>
        </w:rPr>
        <w:t>стану міських захисних споруд цивільного захисту</w:t>
      </w:r>
    </w:p>
    <w:p w:rsidR="0011318F" w:rsidRDefault="0011318F" w:rsidP="0011318F">
      <w:pPr>
        <w:spacing w:after="0" w:line="240" w:lineRule="auto"/>
        <w:jc w:val="center"/>
        <w:outlineLvl w:val="5"/>
        <w:rPr>
          <w:rFonts w:ascii="Times New Roman" w:hAnsi="Times New Roman"/>
          <w:sz w:val="28"/>
          <w:szCs w:val="28"/>
          <w:lang w:val="uk-UA" w:eastAsia="ru-RU"/>
        </w:rPr>
      </w:pPr>
    </w:p>
    <w:p w:rsidR="0011318F" w:rsidRPr="00E66402" w:rsidRDefault="0011318F" w:rsidP="0011318F">
      <w:pPr>
        <w:spacing w:after="0" w:line="240" w:lineRule="auto"/>
        <w:ind w:firstLine="708"/>
        <w:jc w:val="both"/>
        <w:outlineLvl w:val="5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Відповідно до ст. 32 Кодексу цивільного захисту України </w:t>
      </w:r>
      <w:bookmarkStart w:id="1" w:name="n571"/>
      <w:bookmarkEnd w:id="1"/>
      <w:r w:rsidRPr="00E66402">
        <w:rPr>
          <w:rFonts w:ascii="Times New Roman" w:hAnsi="Times New Roman"/>
          <w:sz w:val="26"/>
          <w:szCs w:val="26"/>
          <w:lang w:val="uk-UA" w:eastAsia="ru-RU"/>
        </w:rPr>
        <w:t>до захисних споруд цивільного захисту належать: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bookmarkStart w:id="2" w:name="n572"/>
      <w:bookmarkEnd w:id="2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-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сховища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- герметична споруда для захисту людей, в якій протягом певного часу створюються умови, що виключають вплив на них небезпечних факторів, які виникають внаслідок надзвичайної ситуації, воєнних (бойових) дій та терористичних актів;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bookmarkStart w:id="3" w:name="n573"/>
      <w:bookmarkEnd w:id="3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-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протирадіаційні укриття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(ПРУ)- негерметична споруда для захисту людей, в якій створюються умови, що виключають вплив на них іонізуючого опромінення у разі радіоактивного забруднення місцевості;</w:t>
      </w:r>
    </w:p>
    <w:p w:rsidR="0011318F" w:rsidRPr="00023157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bookmarkStart w:id="4" w:name="n574"/>
      <w:bookmarkStart w:id="5" w:name="n575"/>
      <w:bookmarkEnd w:id="4"/>
      <w:bookmarkEnd w:id="5"/>
      <w:r w:rsidRPr="00E66402">
        <w:rPr>
          <w:rFonts w:ascii="Times New Roman" w:hAnsi="Times New Roman"/>
          <w:sz w:val="26"/>
          <w:szCs w:val="26"/>
          <w:lang w:val="uk-UA" w:eastAsia="ru-RU"/>
        </w:rPr>
        <w:t>-</w:t>
      </w:r>
      <w:r w:rsidRPr="0054154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найпростіші укриття та споруди подвійного призначення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– використовуються для захисту людей від деяких факторів небезпеки, що виникають внаслідок надз</w:t>
      </w:r>
      <w:r>
        <w:rPr>
          <w:rFonts w:ascii="Times New Roman" w:hAnsi="Times New Roman"/>
          <w:sz w:val="26"/>
          <w:szCs w:val="26"/>
          <w:lang w:val="uk-UA" w:eastAsia="ru-RU"/>
        </w:rPr>
        <w:t>вичайних ситуацій у мирний час</w:t>
      </w:r>
      <w:r w:rsidRPr="0002315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та дії засобів ураження в особливий період</w:t>
      </w:r>
      <w:bookmarkStart w:id="6" w:name="n576"/>
      <w:bookmarkEnd w:id="6"/>
      <w:r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u w:val="single"/>
          <w:lang w:val="uk-UA" w:eastAsia="ru-RU"/>
        </w:rPr>
        <w:t>Найпростіше укриття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- це фортифікаційна споруда, цокольне або підвальне приміщення, що знижує комбіноване ураження людей від небезпечних наслідків надзвичайних ситуацій, а також від дії засобів ураження в особливий період.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66402">
        <w:rPr>
          <w:rFonts w:ascii="Times New Roman" w:hAnsi="Times New Roman"/>
          <w:sz w:val="26"/>
          <w:szCs w:val="26"/>
          <w:u w:val="single"/>
          <w:lang w:val="uk-UA" w:eastAsia="ru-RU"/>
        </w:rPr>
        <w:t>Споруда подвійного призначення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- це наземна або підземна споруда, що може бути використана за основним функціональним призначенням і для захисту населення.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7" w:name="n577"/>
      <w:bookmarkEnd w:id="7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Для вирішення питань щодо укриття населення в захисних спорудах цивільного захисту центральні органи виконавчої влади, органи місцевого самоврядування та суб’єкти господарювання завчасно створюють фонд таких споруд. 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Наказом начальника Бучанської міської ланки територіальної підсистеми єдиної державної системи цивільного захисту Київської області від </w:t>
      </w:r>
      <w:r w:rsidRPr="00541542">
        <w:rPr>
          <w:rFonts w:ascii="Times New Roman" w:hAnsi="Times New Roman"/>
          <w:sz w:val="26"/>
          <w:szCs w:val="26"/>
          <w:lang w:eastAsia="ru-RU"/>
        </w:rPr>
        <w:t>15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.01.201</w:t>
      </w:r>
      <w:r w:rsidRPr="00541542">
        <w:rPr>
          <w:rFonts w:ascii="Times New Roman" w:hAnsi="Times New Roman"/>
          <w:sz w:val="26"/>
          <w:szCs w:val="26"/>
          <w:lang w:eastAsia="ru-RU"/>
        </w:rPr>
        <w:t>8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№</w:t>
      </w:r>
      <w:r w:rsidRPr="00541542">
        <w:rPr>
          <w:rFonts w:ascii="Times New Roman" w:hAnsi="Times New Roman"/>
          <w:sz w:val="26"/>
          <w:szCs w:val="26"/>
          <w:lang w:eastAsia="ru-RU"/>
        </w:rPr>
        <w:t xml:space="preserve"> 3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«Про створення фонду захисних споруд цивільного захисту (ЗСЦЗ) міста та приведення стану підвальних приміщень до готовності використання в особливий період»  створено фонд захисних споруд цивільного захисту міста Буча загальн</w:t>
      </w:r>
      <w:r>
        <w:rPr>
          <w:rFonts w:ascii="Times New Roman" w:hAnsi="Times New Roman"/>
          <w:sz w:val="26"/>
          <w:szCs w:val="26"/>
          <w:lang w:val="uk-UA" w:eastAsia="ru-RU"/>
        </w:rPr>
        <w:t>а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площ</w:t>
      </w:r>
      <w:r>
        <w:rPr>
          <w:rFonts w:ascii="Times New Roman" w:hAnsi="Times New Roman"/>
          <w:sz w:val="26"/>
          <w:szCs w:val="26"/>
          <w:lang w:val="uk-UA" w:eastAsia="ru-RU"/>
        </w:rPr>
        <w:t>а якого,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станом на 01.01.2019, становить </w:t>
      </w:r>
      <w:r w:rsidRPr="00922752">
        <w:rPr>
          <w:rFonts w:ascii="Times New Roman" w:hAnsi="Times New Roman"/>
          <w:b/>
          <w:sz w:val="26"/>
          <w:szCs w:val="26"/>
          <w:lang w:val="uk-UA" w:eastAsia="ru-RU"/>
        </w:rPr>
        <w:t>62 628,9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кв.м.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(таблиця 1,2,3).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Утримання захисних споруд цивільного захисту у готовності до використання за призначенням здійснюється суб’єктами господарювання, на балансі яких вони перебувають</w:t>
      </w:r>
      <w:r>
        <w:rPr>
          <w:rFonts w:ascii="Times New Roman" w:hAnsi="Times New Roman"/>
          <w:sz w:val="26"/>
          <w:szCs w:val="26"/>
          <w:lang w:val="uk-UA" w:eastAsia="ru-RU"/>
        </w:rPr>
        <w:t>,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за рахунок власних коштів.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Стан готовності ЗСЦЗ щодо готовності до використання за призначенням в особливий період визначається шляхом комплексних перевірок. Перевірки міських ЗСЦЗ проводились у 2009, 2012, 2016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2017</w:t>
      </w:r>
      <w:r>
        <w:rPr>
          <w:rFonts w:ascii="Times New Roman" w:hAnsi="Times New Roman"/>
          <w:sz w:val="26"/>
          <w:szCs w:val="26"/>
          <w:lang w:val="uk-UA" w:eastAsia="ru-RU"/>
        </w:rPr>
        <w:t>, 2018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роках комісією за участю представників Бучанської міської ради,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Ірпінського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МВ ГУ ДСНС України в Київській області, КП «Бучабудзамовник» та балансоутримувачів (власників) захисних споруд цивільного захисту. Результати перевірок наведені в таблиці  1.</w:t>
      </w: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sz w:val="26"/>
          <w:szCs w:val="26"/>
          <w:lang w:val="uk-UA" w:eastAsia="uk-UA"/>
        </w:rPr>
        <w:t>Таблиця 1</w:t>
      </w: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>ПЕРЕЛІК</w:t>
      </w: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захисних споруд цивільного захисту, </w:t>
      </w: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>що перебувають на обліку в Бучанській міській раді, Київській облдержадміністрації та ГУ ДСНС України в Київській області</w:t>
      </w: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tbl>
      <w:tblPr>
        <w:tblW w:w="11058" w:type="dxa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440"/>
        <w:gridCol w:w="1440"/>
        <w:gridCol w:w="1980"/>
        <w:gridCol w:w="1727"/>
        <w:gridCol w:w="1440"/>
        <w:gridCol w:w="1425"/>
        <w:gridCol w:w="1246"/>
      </w:tblGrid>
      <w:tr w:rsidR="0011318F" w:rsidRPr="00023157" w:rsidTr="001F2D27">
        <w:trPr>
          <w:cantSplit/>
          <w:trHeight w:val="2268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Захисна споруда, </w:t>
            </w:r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обліковий номер </w:t>
            </w:r>
          </w:p>
        </w:tc>
        <w:tc>
          <w:tcPr>
            <w:tcW w:w="1440" w:type="dxa"/>
            <w:vAlign w:val="center"/>
          </w:tcPr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Рік вводу в </w:t>
            </w:r>
            <w:proofErr w:type="spellStart"/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експлуата</w:t>
            </w:r>
            <w:proofErr w:type="spellEnd"/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цію</w:t>
            </w:r>
            <w:proofErr w:type="spellEnd"/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980" w:type="dxa"/>
            <w:vAlign w:val="center"/>
          </w:tcPr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1727" w:type="dxa"/>
            <w:vAlign w:val="center"/>
          </w:tcPr>
          <w:p w:rsidR="0011318F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</w:t>
            </w:r>
            <w:proofErr w:type="spellEnd"/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утримувач (власник)</w:t>
            </w:r>
          </w:p>
        </w:tc>
        <w:tc>
          <w:tcPr>
            <w:tcW w:w="1440" w:type="dxa"/>
            <w:vAlign w:val="center"/>
          </w:tcPr>
          <w:p w:rsidR="0011318F" w:rsidRPr="00023157" w:rsidRDefault="0011318F" w:rsidP="001F2D27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Коротка характеристика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023157" w:rsidRDefault="0011318F" w:rsidP="001F2D27">
            <w:pPr>
              <w:pStyle w:val="1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31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площа приміщення</w:t>
            </w:r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b/>
              </w:rPr>
              <w:t>(м</w:t>
            </w:r>
            <w:r w:rsidRPr="00023157">
              <w:rPr>
                <w:b/>
                <w:vertAlign w:val="superscript"/>
              </w:rPr>
              <w:t>2)</w:t>
            </w:r>
          </w:p>
        </w:tc>
        <w:tc>
          <w:tcPr>
            <w:tcW w:w="1246" w:type="dxa"/>
            <w:vAlign w:val="center"/>
          </w:tcPr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023157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Стан готовності ЗСЦЗ</w:t>
            </w:r>
          </w:p>
          <w:p w:rsidR="0011318F" w:rsidRPr="00023157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11318F" w:rsidRPr="00E66402" w:rsidTr="001F2D27">
        <w:trPr>
          <w:cantSplit/>
          <w:trHeight w:val="341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4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4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246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164008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32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ВАТ «НДІ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скопластиків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і  волокна»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Окремо розташоване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 осіб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299,0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164009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1980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16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701,0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164015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1982</w:t>
            </w:r>
          </w:p>
        </w:tc>
        <w:tc>
          <w:tcPr>
            <w:tcW w:w="1980" w:type="dxa"/>
          </w:tcPr>
          <w:p w:rsidR="0011318F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400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164016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1982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101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400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675,0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164021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1983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Л.Качинського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380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190,3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164022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1984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19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150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95,4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164024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1986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Вокзальна,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129-г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250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412,5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8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164026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1986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Сілезька, 3/23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КПГХ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Продсервіс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400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164030-а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1971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Склозаводська, 3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30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25,0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164031-а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1983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Водопровідна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54-а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450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379,0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164043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1990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Майдану,17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500 осіб 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404,1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164049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19-а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400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650,1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164050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1991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Яблунська,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203-г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250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120,1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164009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Яблунська, 144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ВП «Фірма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Агробудпостач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150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252,0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Обмежено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ПРУ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164007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1971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Енергетиків, 8</w:t>
            </w: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Бучанське відділення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КМФ ПАТ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Укрсоц</w:t>
            </w:r>
            <w:proofErr w:type="spellEnd"/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банк»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Вбудована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75,0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Обмежено готове</w:t>
            </w:r>
          </w:p>
        </w:tc>
      </w:tr>
      <w:tr w:rsidR="0011318F" w:rsidRPr="00E66402" w:rsidTr="001F2D27">
        <w:trPr>
          <w:cantSplit/>
          <w:trHeight w:val="1134"/>
        </w:trPr>
        <w:tc>
          <w:tcPr>
            <w:tcW w:w="36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144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1976</w:t>
            </w:r>
          </w:p>
        </w:tc>
        <w:tc>
          <w:tcPr>
            <w:tcW w:w="19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Енергетиків,2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27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КП </w:t>
            </w:r>
          </w:p>
          <w:p w:rsidR="0011318F" w:rsidRPr="00E66402" w:rsidRDefault="0011318F" w:rsidP="001F2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«Бучанське УЖКГ»</w:t>
            </w:r>
          </w:p>
        </w:tc>
        <w:tc>
          <w:tcPr>
            <w:tcW w:w="14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48 осіб</w:t>
            </w:r>
          </w:p>
        </w:tc>
        <w:tc>
          <w:tcPr>
            <w:tcW w:w="142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66,0</w:t>
            </w:r>
          </w:p>
        </w:tc>
        <w:tc>
          <w:tcPr>
            <w:tcW w:w="1246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Не готове</w:t>
            </w:r>
          </w:p>
        </w:tc>
      </w:tr>
    </w:tbl>
    <w:p w:rsidR="0011318F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firstLine="85"/>
        <w:jc w:val="both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                                                                                  </w:t>
      </w:r>
      <w:r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    </w:t>
      </w: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4 558 осіб </w:t>
      </w:r>
      <w:r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        5 169,1</w:t>
      </w:r>
    </w:p>
    <w:p w:rsidR="0011318F" w:rsidRPr="00E66402" w:rsidRDefault="0011318F" w:rsidP="0011318F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firstLine="85"/>
        <w:jc w:val="both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</w:p>
    <w:p w:rsidR="0011318F" w:rsidRDefault="0011318F" w:rsidP="0011318F">
      <w:pPr>
        <w:spacing w:after="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До 2007 року вищезазначені ЗСЦЗ (табл. 1) перебували на обліку </w:t>
      </w:r>
      <w:proofErr w:type="spellStart"/>
      <w:r>
        <w:rPr>
          <w:rFonts w:ascii="Times New Roman" w:hAnsi="Times New Roman"/>
          <w:sz w:val="26"/>
          <w:szCs w:val="26"/>
          <w:lang w:val="uk-UA" w:eastAsia="ru-RU"/>
        </w:rPr>
        <w:t>Ірпінської</w:t>
      </w:r>
      <w:proofErr w:type="spellEnd"/>
      <w:r>
        <w:rPr>
          <w:rFonts w:ascii="Times New Roman" w:hAnsi="Times New Roman"/>
          <w:sz w:val="26"/>
          <w:szCs w:val="26"/>
          <w:lang w:val="uk-UA" w:eastAsia="ru-RU"/>
        </w:rPr>
        <w:t xml:space="preserve"> міської ради з визначенням їх стану готовності, як «Не готові». Станом на 01.01.2019 ЗСЦЗ перебувають на обліку Бучанської міської ради з визначенням стану готовності:14 ЗСЦЗ – «Не готові», 2 ЗСЦЗ – «Обмежено готові». </w:t>
      </w:r>
    </w:p>
    <w:p w:rsidR="0011318F" w:rsidRDefault="0011318F" w:rsidP="0011318F">
      <w:pPr>
        <w:spacing w:after="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Слід відзначити керівників БВ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КМФ ПАТ «Укрсоцбанк»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та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ВП «Фірма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Агробудпостач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>»</w:t>
      </w:r>
      <w:r>
        <w:rPr>
          <w:rFonts w:ascii="Times New Roman" w:hAnsi="Times New Roman"/>
          <w:sz w:val="26"/>
          <w:szCs w:val="26"/>
          <w:lang w:val="uk-UA" w:eastAsia="ru-RU"/>
        </w:rPr>
        <w:t>, які з розумінням відносяться до виконання завдань у сфері цивільного захисту.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Питання обстеження та включення до фонду захисних споруд як найпростіших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та споруд подвійного призначення на законодавчому рівні не врегульовано, тому на сьогоднішній день відділ з питань надзвичайних ситуацій, цивільного захисту населення та оборонно-мобілізаційної роботи керується «Рекомендаціями ДСНС України щодо визначення об’єктів, придатних до включення до фонду ЗСЦЗ, як споруди подвійного призначення та найпростіші укриття». 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lastRenderedPageBreak/>
        <w:t xml:space="preserve">Дані щодо найпростіших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та споруд подвійного призначення наведено у таблиці 2.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Таблиця 2</w:t>
      </w:r>
    </w:p>
    <w:p w:rsidR="0011318F" w:rsidRPr="00E66402" w:rsidRDefault="0011318F" w:rsidP="0011318F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11318F" w:rsidRPr="00E66402" w:rsidRDefault="0011318F" w:rsidP="0011318F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найпростіших </w:t>
      </w:r>
      <w:proofErr w:type="spellStart"/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 та споруд подвійного призначення,</w:t>
      </w:r>
    </w:p>
    <w:p w:rsidR="0011318F" w:rsidRDefault="0011318F" w:rsidP="0011318F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 які відповідають рекомендаціям ДСНС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2160"/>
        <w:gridCol w:w="1800"/>
        <w:gridCol w:w="1490"/>
      </w:tblGrid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Найменування укриття 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</w:t>
            </w:r>
            <w:proofErr w:type="spellEnd"/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утримувач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Загальна площа підвального приміщення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66402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Розрахункова кількість людей, осіб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Нове,шосе,15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ЖБК-9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1014,1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 318-а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«Победа-2»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840,0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Пушкінська, 2-к; 2-м; 2-л;</w:t>
            </w:r>
          </w:p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Гоголя,10-г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«ЖК «Річ Таун 2»</w:t>
            </w:r>
          </w:p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1485,7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Пушкінська,59-б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Житлопобут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2007»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 Качинського,4-в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Житлопобут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2007»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Яблунська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370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Центральна, 39-а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420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бул.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Б.Хмельницького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8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885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255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Вишневецького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1061,7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115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930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пров.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Героїв Майдану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20-а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250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3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Б.Гмирі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12 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445,5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бул. Б Хмельницького,  4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«Зоря»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1327,3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Садова, 7б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«Садова 7Б»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3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Ш.Руставелі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2,4,6,8,10,12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«Лісова Буча»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2115,2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1100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ind w:hanging="1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Домоволодіння приватного сектору </w:t>
            </w:r>
          </w:p>
        </w:tc>
        <w:tc>
          <w:tcPr>
            <w:tcW w:w="234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Згідно Генерального плану м. Буча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Власники домоволодінь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3843 шт.</w:t>
            </w:r>
          </w:p>
        </w:tc>
        <w:tc>
          <w:tcPr>
            <w:tcW w:w="149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9 607</w:t>
            </w:r>
          </w:p>
        </w:tc>
      </w:tr>
      <w:tr w:rsidR="0011318F" w:rsidRPr="00E66402" w:rsidTr="001F2D27">
        <w:tc>
          <w:tcPr>
            <w:tcW w:w="5040" w:type="dxa"/>
            <w:gridSpan w:val="3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1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13 444,8</w:t>
            </w:r>
          </w:p>
        </w:tc>
        <w:tc>
          <w:tcPr>
            <w:tcW w:w="149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17 172</w:t>
            </w:r>
          </w:p>
        </w:tc>
      </w:tr>
    </w:tbl>
    <w:p w:rsidR="0011318F" w:rsidRPr="00E66402" w:rsidRDefault="0011318F" w:rsidP="0011318F">
      <w:pPr>
        <w:spacing w:after="0" w:line="240" w:lineRule="auto"/>
        <w:rPr>
          <w:rFonts w:ascii="Times New Roman" w:hAnsi="Times New Roman"/>
          <w:sz w:val="26"/>
          <w:szCs w:val="26"/>
          <w:lang w:val="uk-UA" w:eastAsia="ru-RU"/>
        </w:rPr>
      </w:pPr>
    </w:p>
    <w:p w:rsidR="0011318F" w:rsidRPr="00E66402" w:rsidRDefault="0011318F" w:rsidP="001131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Згідно наказу начальника Бучанської міської ланки територіальної підсистеми єдиної державної системи цивільного </w:t>
      </w:r>
      <w:r>
        <w:rPr>
          <w:rFonts w:ascii="Times New Roman" w:hAnsi="Times New Roman"/>
          <w:sz w:val="26"/>
          <w:szCs w:val="26"/>
          <w:lang w:val="uk-UA" w:eastAsia="ru-RU"/>
        </w:rPr>
        <w:t>захисту Київської області від 1</w:t>
      </w:r>
      <w:r w:rsidRPr="00541542">
        <w:rPr>
          <w:rFonts w:ascii="Times New Roman" w:hAnsi="Times New Roman"/>
          <w:sz w:val="26"/>
          <w:szCs w:val="26"/>
          <w:lang w:val="uk-UA" w:eastAsia="ru-RU"/>
        </w:rPr>
        <w:t>5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.01.201</w:t>
      </w:r>
      <w:r w:rsidRPr="00541542">
        <w:rPr>
          <w:rFonts w:ascii="Times New Roman" w:hAnsi="Times New Roman"/>
          <w:sz w:val="26"/>
          <w:szCs w:val="26"/>
          <w:lang w:val="uk-UA" w:eastAsia="ru-RU"/>
        </w:rPr>
        <w:t>8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№ </w:t>
      </w:r>
      <w:r w:rsidRPr="00541542">
        <w:rPr>
          <w:rFonts w:ascii="Times New Roman" w:hAnsi="Times New Roman"/>
          <w:sz w:val="26"/>
          <w:szCs w:val="26"/>
          <w:lang w:val="uk-UA" w:eastAsia="ru-RU"/>
        </w:rPr>
        <w:t>3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«Про створення фонду захисних споруд цивільного захисту (ЗСЦЗ) міста та приведення стану підвальних приміщень до готовності використання в особливий період» керівникам підприємств, установ та організацій міста Буча, балансоутримувачам та власникам ЗСЦЗ, найпростіших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та споруд подвійного призначення рекомендовано вжити заходів щодо приведення їх до стану готовності для тимчасового укриття працівників та населення в особливий період.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На сьогоднішній день продовжується робота щодо обстеження підвальних приміщень (найпростіших </w:t>
      </w:r>
      <w:proofErr w:type="spellStart"/>
      <w:r w:rsidRPr="00E66402">
        <w:rPr>
          <w:rFonts w:ascii="Times New Roman" w:hAnsi="Times New Roman"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sz w:val="26"/>
          <w:szCs w:val="26"/>
          <w:lang w:val="uk-UA" w:eastAsia="ru-RU"/>
        </w:rPr>
        <w:t>) та приведення їх до стану готовності використання за призначенням в особливий період. Перелік підвальних приміщень, які потребують визначення стану готовності до використання за призначенням наведено в таблиці 3.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Таблиця 3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підвальних приміщень (найпростіших </w:t>
      </w:r>
      <w:proofErr w:type="spellStart"/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укриттів</w:t>
      </w:r>
      <w:proofErr w:type="spellEnd"/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), які потребують додаткового обстеження та визначення стану готовності до використання за призначенням</w:t>
      </w:r>
    </w:p>
    <w:tbl>
      <w:tblPr>
        <w:tblW w:w="109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3060"/>
        <w:gridCol w:w="2700"/>
        <w:gridCol w:w="1800"/>
      </w:tblGrid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Номер захисної споруди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Балансоутримувач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Загальна площа підвального приміщення</w:t>
            </w:r>
          </w:p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66402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28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-7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30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«Дружба»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890,5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Нове,шосе,11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шосе,11-а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7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«Васильок»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501,0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Яблунська,17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Стікольний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Островського, 36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«Енергія-1»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8-а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Тарасівський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1981,5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Склозаводська,12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«Прометей-2011»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214,0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Пушкінська, 3-б; 3-в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«ЖК «Річ Таун»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1528,1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шосе,14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ПП «Столичні будинки»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2021,7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бул.Б.Хмельницького,10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ПП «Столичні будинки»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1640,6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104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450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Енергетиків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2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850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вул.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, 46-а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390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34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333,8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48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431,4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427,0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54</w:t>
            </w: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335,2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445,5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129-б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eastAsia="ru-RU"/>
              </w:rPr>
              <w:t>281,0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129-в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217,6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129-г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288,3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2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931,9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4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723,8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8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863,0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9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182,6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736,9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11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174,0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14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17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543,5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19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383,8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Яблунська, 203-б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563,6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Яблунська, 203-в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301,8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 203-г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791,9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пров.Героїв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Майдану, 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204,3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 Героїв Майдану, 15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250,0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 15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481,7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Києво – Мироцька,  104- 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116,2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Києво – Мироцька,  104- б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Києво – Мироцька,  104- в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596,2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Малиновського, 69-а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146,0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«Буча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Гулівер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651,7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5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676,3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663,8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13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1236,4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 Шосе, 16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2028,6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17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989,9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Радгоспна, 10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80,6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1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438,5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5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910,1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 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524,5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8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380,7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 10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363,7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1-в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353,0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1-г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328,4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3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300,5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Тарасівська, 10-г                         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747,0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 ,10-д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924,7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Тарасівська, 12-а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631,6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вул.Л.Качинського</w:t>
            </w:r>
            <w:proofErr w:type="spellEnd"/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644,6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Л.Качинського,4-б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134,4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33-а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698,8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39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853,7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бул. Б. Хмельницького, 2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1851,9</w:t>
            </w:r>
          </w:p>
        </w:tc>
      </w:tr>
      <w:tr w:rsidR="0011318F" w:rsidRPr="00E66402" w:rsidTr="001F2D27">
        <w:trPr>
          <w:trHeight w:val="70"/>
        </w:trPr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бул. Б Хмельницького,  6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ПП «Столичні будинки»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2033,9</w:t>
            </w:r>
          </w:p>
        </w:tc>
      </w:tr>
      <w:tr w:rsidR="0011318F" w:rsidRPr="00E66402" w:rsidTr="001F2D27">
        <w:tc>
          <w:tcPr>
            <w:tcW w:w="540" w:type="dxa"/>
          </w:tcPr>
          <w:p w:rsidR="0011318F" w:rsidRPr="00E66402" w:rsidRDefault="0011318F" w:rsidP="001F2D2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8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060" w:type="dxa"/>
            <w:vAlign w:val="center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Островського, 36  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«БУЖКГ»</w:t>
            </w: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131,0</w:t>
            </w:r>
          </w:p>
        </w:tc>
      </w:tr>
      <w:tr w:rsidR="0011318F" w:rsidRPr="00E66402" w:rsidTr="001F2D27">
        <w:tc>
          <w:tcPr>
            <w:tcW w:w="6480" w:type="dxa"/>
            <w:gridSpan w:val="3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44 015</w:t>
            </w:r>
          </w:p>
        </w:tc>
      </w:tr>
      <w:tr w:rsidR="0011318F" w:rsidRPr="00E66402" w:rsidTr="001F2D27">
        <w:tc>
          <w:tcPr>
            <w:tcW w:w="6480" w:type="dxa"/>
            <w:gridSpan w:val="3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Розрахункова кількість осіб для укриття </w:t>
            </w:r>
          </w:p>
        </w:tc>
        <w:tc>
          <w:tcPr>
            <w:tcW w:w="2700" w:type="dxa"/>
          </w:tcPr>
          <w:p w:rsidR="0011318F" w:rsidRPr="00E66402" w:rsidRDefault="0011318F" w:rsidP="001F2D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800" w:type="dxa"/>
            <w:vAlign w:val="bottom"/>
          </w:tcPr>
          <w:p w:rsidR="0011318F" w:rsidRPr="00E66402" w:rsidRDefault="0011318F" w:rsidP="001F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66402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22 000</w:t>
            </w:r>
          </w:p>
        </w:tc>
      </w:tr>
    </w:tbl>
    <w:p w:rsidR="0011318F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Станом на 01.01.201</w:t>
      </w:r>
      <w:r>
        <w:rPr>
          <w:rFonts w:ascii="Times New Roman" w:hAnsi="Times New Roman"/>
          <w:sz w:val="26"/>
          <w:szCs w:val="26"/>
          <w:lang w:val="uk-UA" w:eastAsia="ru-RU"/>
        </w:rPr>
        <w:t>9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загальна 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розрахункова кількість населення, яке може укритись у міських захисних спорудах цивільного захисту в особливий період становить близько </w:t>
      </w: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 44 000 осіб.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66402">
        <w:rPr>
          <w:rFonts w:ascii="Times New Roman" w:hAnsi="Times New Roman"/>
          <w:b/>
          <w:sz w:val="28"/>
          <w:szCs w:val="28"/>
          <w:lang w:val="uk-UA" w:eastAsia="ru-RU"/>
        </w:rPr>
        <w:t>Основні проблемні питання:</w:t>
      </w:r>
    </w:p>
    <w:p w:rsidR="0011318F" w:rsidRPr="00E66402" w:rsidRDefault="0011318F" w:rsidP="0011318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Забудовники не включають в проекти забудови багатоповерхових будинків підвальні приміщення, які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можна використовувати як ЗСЦЗ.</w:t>
      </w:r>
    </w:p>
    <w:p w:rsidR="0011318F" w:rsidRPr="00E66402" w:rsidRDefault="0011318F" w:rsidP="0011318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Підвальні приміщення, </w:t>
      </w:r>
      <w:r>
        <w:rPr>
          <w:rFonts w:ascii="Times New Roman" w:hAnsi="Times New Roman"/>
          <w:sz w:val="26"/>
          <w:szCs w:val="26"/>
          <w:lang w:val="uk-UA" w:eastAsia="ru-RU"/>
        </w:rPr>
        <w:t>які обліковуються, як ПРУ (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згідно проектів</w:t>
      </w:r>
      <w:r>
        <w:rPr>
          <w:rFonts w:ascii="Times New Roman" w:hAnsi="Times New Roman"/>
          <w:sz w:val="26"/>
          <w:szCs w:val="26"/>
          <w:lang w:val="uk-UA" w:eastAsia="ru-RU"/>
        </w:rPr>
        <w:t>),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переобладнані</w:t>
      </w:r>
      <w:r w:rsidRPr="00926DF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мешканцями даних будинків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 під господарські приміщення.</w:t>
      </w:r>
    </w:p>
    <w:p w:rsidR="0011318F" w:rsidRPr="00E66402" w:rsidRDefault="0011318F" w:rsidP="0011318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Відсутнє нормативно-законодавче врегулювання питання перев</w:t>
      </w:r>
      <w:r>
        <w:rPr>
          <w:rFonts w:ascii="Times New Roman" w:hAnsi="Times New Roman"/>
          <w:sz w:val="26"/>
          <w:szCs w:val="26"/>
          <w:lang w:val="uk-UA" w:eastAsia="ru-RU"/>
        </w:rPr>
        <w:t>едення ПРУ у найпростіші укриття</w:t>
      </w:r>
      <w:r w:rsidRPr="00E66402"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11318F" w:rsidRPr="00E66402" w:rsidRDefault="0011318F" w:rsidP="0011318F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66402">
        <w:rPr>
          <w:rFonts w:ascii="Times New Roman" w:hAnsi="Times New Roman"/>
          <w:b/>
          <w:sz w:val="28"/>
          <w:szCs w:val="28"/>
          <w:lang w:val="uk-UA" w:eastAsia="ru-RU"/>
        </w:rPr>
        <w:t>Основні планові питання:</w:t>
      </w:r>
    </w:p>
    <w:p w:rsidR="0011318F" w:rsidRPr="00E66402" w:rsidRDefault="0011318F" w:rsidP="0011318F">
      <w:pPr>
        <w:numPr>
          <w:ilvl w:val="0"/>
          <w:numId w:val="20"/>
        </w:numPr>
        <w:shd w:val="clear" w:color="auto" w:fill="FFFFFF"/>
        <w:tabs>
          <w:tab w:val="clear" w:pos="1980"/>
          <w:tab w:val="num" w:pos="1260"/>
        </w:tabs>
        <w:spacing w:after="150" w:line="240" w:lineRule="auto"/>
        <w:ind w:left="1260" w:hanging="72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Створення інтерактивної карти ЗСЦЗ міста.</w:t>
      </w:r>
    </w:p>
    <w:p w:rsidR="0011318F" w:rsidRDefault="0011318F" w:rsidP="0011318F">
      <w:pPr>
        <w:numPr>
          <w:ilvl w:val="0"/>
          <w:numId w:val="20"/>
        </w:numPr>
        <w:shd w:val="clear" w:color="auto" w:fill="FFFFFF"/>
        <w:tabs>
          <w:tab w:val="clear" w:pos="1980"/>
          <w:tab w:val="num" w:pos="1260"/>
        </w:tabs>
        <w:spacing w:after="150" w:line="240" w:lineRule="auto"/>
        <w:ind w:left="1260" w:hanging="72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Проведення конкурсу на кращу захисну споруду серед балансоутримувачів та власників захисних споруд цивільного захисту.</w:t>
      </w:r>
    </w:p>
    <w:p w:rsidR="0011318F" w:rsidRPr="00EC341E" w:rsidRDefault="0011318F" w:rsidP="0011318F">
      <w:pPr>
        <w:numPr>
          <w:ilvl w:val="0"/>
          <w:numId w:val="20"/>
        </w:numPr>
        <w:shd w:val="clear" w:color="auto" w:fill="FFFFFF"/>
        <w:tabs>
          <w:tab w:val="clear" w:pos="1980"/>
          <w:tab w:val="num" w:pos="1260"/>
        </w:tabs>
        <w:spacing w:after="150" w:line="240" w:lineRule="auto"/>
        <w:ind w:left="1260" w:hanging="693"/>
        <w:jc w:val="both"/>
        <w:rPr>
          <w:rFonts w:ascii="Times New Roman" w:hAnsi="Times New Roman"/>
          <w:sz w:val="26"/>
          <w:szCs w:val="26"/>
          <w:lang w:val="uk-UA"/>
        </w:rPr>
      </w:pPr>
      <w:r w:rsidRPr="00EC341E">
        <w:rPr>
          <w:rFonts w:ascii="Times New Roman" w:hAnsi="Times New Roman"/>
          <w:sz w:val="26"/>
          <w:szCs w:val="26"/>
          <w:lang w:val="uk-UA"/>
        </w:rPr>
        <w:t>Завершення інвентаризації ЗСЦЗ, як об’єктів нерухомого майна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  </w:t>
      </w:r>
      <w:r w:rsidRPr="00EC341E">
        <w:rPr>
          <w:rFonts w:ascii="Times New Roman" w:hAnsi="Times New Roman"/>
          <w:sz w:val="26"/>
          <w:szCs w:val="26"/>
          <w:lang w:val="uk-UA"/>
        </w:rPr>
        <w:t xml:space="preserve"> у 2019 році.</w:t>
      </w:r>
    </w:p>
    <w:p w:rsidR="0011318F" w:rsidRDefault="0011318F" w:rsidP="0011318F">
      <w:pPr>
        <w:numPr>
          <w:ilvl w:val="0"/>
          <w:numId w:val="20"/>
        </w:numPr>
        <w:shd w:val="clear" w:color="auto" w:fill="FFFFFF"/>
        <w:tabs>
          <w:tab w:val="clear" w:pos="1980"/>
          <w:tab w:val="num" w:pos="1260"/>
        </w:tabs>
        <w:spacing w:after="150" w:line="240" w:lineRule="auto"/>
        <w:ind w:left="1260" w:hanging="72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 xml:space="preserve">Проведення заходів щодо включення до фонду захисних споруд цивільного захисту м. Буча підвальних приміщень приватних будинків. </w:t>
      </w:r>
    </w:p>
    <w:p w:rsidR="0011318F" w:rsidRPr="00E66402" w:rsidRDefault="0011318F" w:rsidP="0011318F">
      <w:pPr>
        <w:numPr>
          <w:ilvl w:val="0"/>
          <w:numId w:val="20"/>
        </w:numPr>
        <w:shd w:val="clear" w:color="auto" w:fill="FFFFFF"/>
        <w:tabs>
          <w:tab w:val="clear" w:pos="1980"/>
          <w:tab w:val="num" w:pos="1260"/>
        </w:tabs>
        <w:spacing w:after="150" w:line="240" w:lineRule="auto"/>
        <w:ind w:left="1260" w:hanging="72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Проведення обліку підвальних приміщень в межах Бучанської міської об’єднаної територіальної громади з подальшим включенням їх до фонду захисних споруд цивільного захисту.</w:t>
      </w:r>
    </w:p>
    <w:p w:rsidR="0011318F" w:rsidRDefault="0011318F" w:rsidP="0011318F">
      <w:pPr>
        <w:tabs>
          <w:tab w:val="num" w:pos="540"/>
        </w:tabs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11318F" w:rsidRPr="00E66402" w:rsidRDefault="0011318F" w:rsidP="0011318F">
      <w:pPr>
        <w:tabs>
          <w:tab w:val="num" w:pos="540"/>
        </w:tabs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11318F" w:rsidRPr="00541542" w:rsidRDefault="0011318F" w:rsidP="0011318F">
      <w:pPr>
        <w:ind w:left="142"/>
        <w:contextualSpacing/>
        <w:rPr>
          <w:rFonts w:ascii="Times New Roman" w:hAnsi="Times New Roman"/>
          <w:b/>
          <w:sz w:val="26"/>
          <w:szCs w:val="26"/>
        </w:rPr>
      </w:pPr>
      <w:r w:rsidRPr="00E66402">
        <w:rPr>
          <w:rFonts w:ascii="Times New Roman" w:hAnsi="Times New Roman"/>
          <w:b/>
          <w:sz w:val="26"/>
          <w:szCs w:val="26"/>
          <w:lang w:val="uk-UA"/>
        </w:rPr>
        <w:t>Начальник відділу з питань</w:t>
      </w:r>
    </w:p>
    <w:p w:rsidR="0011318F" w:rsidRDefault="0011318F" w:rsidP="0011318F">
      <w:pPr>
        <w:ind w:left="142"/>
        <w:contextualSpacing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надзвичайних ситуацій, </w:t>
      </w:r>
    </w:p>
    <w:p w:rsidR="0011318F" w:rsidRDefault="0011318F" w:rsidP="0011318F">
      <w:pPr>
        <w:ind w:left="142"/>
        <w:contextualSpacing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цивільного захисту населення</w:t>
      </w:r>
    </w:p>
    <w:p w:rsidR="0011318F" w:rsidRPr="00E66402" w:rsidRDefault="0011318F" w:rsidP="0011318F">
      <w:pPr>
        <w:ind w:left="142"/>
        <w:contextualSpacing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та оборонно-мобілізаційної роботи    </w:t>
      </w:r>
      <w:r w:rsidRPr="00E66402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      </w:t>
      </w:r>
      <w:r w:rsidRPr="00E66402">
        <w:rPr>
          <w:rFonts w:ascii="Times New Roman" w:hAnsi="Times New Roman"/>
          <w:b/>
          <w:sz w:val="26"/>
          <w:szCs w:val="26"/>
          <w:lang w:val="uk-UA"/>
        </w:rPr>
        <w:t xml:space="preserve">  С.М.</w:t>
      </w:r>
      <w:r w:rsidRPr="00541542">
        <w:rPr>
          <w:rFonts w:ascii="Times New Roman" w:hAnsi="Times New Roman"/>
          <w:b/>
          <w:sz w:val="26"/>
          <w:szCs w:val="26"/>
        </w:rPr>
        <w:t xml:space="preserve"> </w:t>
      </w:r>
      <w:r w:rsidRPr="00E66402">
        <w:rPr>
          <w:rFonts w:ascii="Times New Roman" w:hAnsi="Times New Roman"/>
          <w:b/>
          <w:sz w:val="26"/>
          <w:szCs w:val="26"/>
          <w:lang w:val="uk-UA"/>
        </w:rPr>
        <w:t>Коваленко</w:t>
      </w:r>
    </w:p>
    <w:p w:rsidR="004D4E27" w:rsidRPr="0011318F" w:rsidRDefault="004D4E27">
      <w:pPr>
        <w:rPr>
          <w:lang w:val="uk-UA"/>
        </w:rPr>
      </w:pPr>
    </w:p>
    <w:sectPr w:rsidR="004D4E27" w:rsidRPr="0011318F" w:rsidSect="002E5BB8">
      <w:headerReference w:type="even" r:id="rId6"/>
      <w:headerReference w:type="default" r:id="rId7"/>
      <w:footerReference w:type="default" r:id="rId8"/>
      <w:pgSz w:w="11907" w:h="16840" w:code="9"/>
      <w:pgMar w:top="180" w:right="747" w:bottom="899" w:left="1418" w:header="454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56" w:rsidRDefault="0011318F">
    <w:pPr>
      <w:pStyle w:val="a8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56" w:rsidRDefault="0011318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410A56" w:rsidRDefault="001131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A56" w:rsidRDefault="0011318F">
    <w:pPr>
      <w:pStyle w:val="a5"/>
      <w:framePr w:wrap="around" w:vAnchor="text" w:hAnchor="margin" w:xAlign="center" w:y="1"/>
      <w:rPr>
        <w:rStyle w:val="a7"/>
        <w:rFonts w:ascii="Courier New" w:hAnsi="Courier New"/>
      </w:rPr>
    </w:pPr>
  </w:p>
  <w:p w:rsidR="00410A56" w:rsidRDefault="0011318F" w:rsidP="008B424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38E50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00498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DD2A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61077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70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A6C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900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427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C0C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7DA2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7720B"/>
    <w:multiLevelType w:val="hybridMultilevel"/>
    <w:tmpl w:val="7E4EFA0C"/>
    <w:lvl w:ilvl="0" w:tplc="A3904C74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1" w15:restartNumberingAfterBreak="0">
    <w:nsid w:val="08C64743"/>
    <w:multiLevelType w:val="hybridMultilevel"/>
    <w:tmpl w:val="19788C36"/>
    <w:lvl w:ilvl="0" w:tplc="64B29AB2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  <w:rPr>
        <w:rFonts w:cs="Times New Roman"/>
      </w:rPr>
    </w:lvl>
  </w:abstractNum>
  <w:abstractNum w:abstractNumId="12" w15:restartNumberingAfterBreak="0">
    <w:nsid w:val="0B637942"/>
    <w:multiLevelType w:val="multilevel"/>
    <w:tmpl w:val="41FE30D6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555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21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E9E5788"/>
    <w:multiLevelType w:val="hybridMultilevel"/>
    <w:tmpl w:val="6C5217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EC34F3B"/>
    <w:multiLevelType w:val="hybridMultilevel"/>
    <w:tmpl w:val="12581B7C"/>
    <w:lvl w:ilvl="0" w:tplc="02B8AE4C">
      <w:start w:val="1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4922C57"/>
    <w:multiLevelType w:val="hybridMultilevel"/>
    <w:tmpl w:val="10527F8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121783"/>
    <w:multiLevelType w:val="hybridMultilevel"/>
    <w:tmpl w:val="55D89398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B5113"/>
    <w:multiLevelType w:val="hybridMultilevel"/>
    <w:tmpl w:val="2D625B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9276EAA"/>
    <w:multiLevelType w:val="multilevel"/>
    <w:tmpl w:val="31FCF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9" w15:restartNumberingAfterBreak="0">
    <w:nsid w:val="30CC40B9"/>
    <w:multiLevelType w:val="hybridMultilevel"/>
    <w:tmpl w:val="F9DE4A3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84570F"/>
    <w:multiLevelType w:val="hybridMultilevel"/>
    <w:tmpl w:val="79CE308C"/>
    <w:lvl w:ilvl="0" w:tplc="25E2BAB4">
      <w:start w:val="1"/>
      <w:numFmt w:val="decimal"/>
      <w:lvlText w:val="%1."/>
      <w:lvlJc w:val="left"/>
      <w:pPr>
        <w:tabs>
          <w:tab w:val="num" w:pos="1260"/>
        </w:tabs>
        <w:ind w:left="1260" w:hanging="81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1" w15:restartNumberingAfterBreak="0">
    <w:nsid w:val="494B09BC"/>
    <w:multiLevelType w:val="hybridMultilevel"/>
    <w:tmpl w:val="619C112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B5F2EB8"/>
    <w:multiLevelType w:val="hybridMultilevel"/>
    <w:tmpl w:val="05AA9A92"/>
    <w:lvl w:ilvl="0" w:tplc="843C8AE6">
      <w:start w:val="6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9461F48"/>
    <w:multiLevelType w:val="hybridMultilevel"/>
    <w:tmpl w:val="A230AF8A"/>
    <w:lvl w:ilvl="0" w:tplc="985EB35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  <w:rPr>
        <w:rFonts w:cs="Times New Roman"/>
      </w:rPr>
    </w:lvl>
  </w:abstractNum>
  <w:abstractNum w:abstractNumId="24" w15:restartNumberingAfterBreak="0">
    <w:nsid w:val="5F365A86"/>
    <w:multiLevelType w:val="hybridMultilevel"/>
    <w:tmpl w:val="3A6C8E0A"/>
    <w:lvl w:ilvl="0" w:tplc="C4A68F60">
      <w:start w:val="6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FC1F22"/>
    <w:multiLevelType w:val="hybridMultilevel"/>
    <w:tmpl w:val="38C8B0E8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F4035BF"/>
    <w:multiLevelType w:val="hybridMultilevel"/>
    <w:tmpl w:val="79B8F2D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893651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C77395"/>
    <w:multiLevelType w:val="hybridMultilevel"/>
    <w:tmpl w:val="5E401116"/>
    <w:lvl w:ilvl="0" w:tplc="985EB35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8" w15:restartNumberingAfterBreak="0">
    <w:nsid w:val="78D25A6D"/>
    <w:multiLevelType w:val="hybridMultilevel"/>
    <w:tmpl w:val="AC303BD6"/>
    <w:lvl w:ilvl="0" w:tplc="041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29" w15:restartNumberingAfterBreak="0">
    <w:nsid w:val="78E3660B"/>
    <w:multiLevelType w:val="hybridMultilevel"/>
    <w:tmpl w:val="17D47644"/>
    <w:lvl w:ilvl="0" w:tplc="985EB35C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0" w15:restartNumberingAfterBreak="0">
    <w:nsid w:val="7A597AAB"/>
    <w:multiLevelType w:val="hybridMultilevel"/>
    <w:tmpl w:val="00D68E70"/>
    <w:lvl w:ilvl="0" w:tplc="FADC8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18"/>
  </w:num>
  <w:num w:numId="4">
    <w:abstractNumId w:val="19"/>
  </w:num>
  <w:num w:numId="5">
    <w:abstractNumId w:val="22"/>
  </w:num>
  <w:num w:numId="6">
    <w:abstractNumId w:val="26"/>
  </w:num>
  <w:num w:numId="7">
    <w:abstractNumId w:val="21"/>
  </w:num>
  <w:num w:numId="8">
    <w:abstractNumId w:val="25"/>
  </w:num>
  <w:num w:numId="9">
    <w:abstractNumId w:val="15"/>
  </w:num>
  <w:num w:numId="10">
    <w:abstractNumId w:val="10"/>
  </w:num>
  <w:num w:numId="11">
    <w:abstractNumId w:val="16"/>
  </w:num>
  <w:num w:numId="12">
    <w:abstractNumId w:val="24"/>
  </w:num>
  <w:num w:numId="13">
    <w:abstractNumId w:val="11"/>
  </w:num>
  <w:num w:numId="14">
    <w:abstractNumId w:val="2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7"/>
  </w:num>
  <w:num w:numId="18">
    <w:abstractNumId w:val="28"/>
  </w:num>
  <w:num w:numId="19">
    <w:abstractNumId w:val="29"/>
  </w:num>
  <w:num w:numId="20">
    <w:abstractNumId w:val="23"/>
  </w:num>
  <w:num w:numId="21">
    <w:abstractNumId w:val="1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38"/>
    <w:rsid w:val="0011318F"/>
    <w:rsid w:val="0016163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4F34"/>
  <w15:chartTrackingRefBased/>
  <w15:docId w15:val="{D5EF650E-C1E0-4885-900C-259BDA32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1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1318F"/>
    <w:pPr>
      <w:keepNext/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11318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11318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11318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1318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318F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11318F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11318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1131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1318F"/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a3">
    <w:name w:val="Body Text"/>
    <w:basedOn w:val="a"/>
    <w:link w:val="a4"/>
    <w:uiPriority w:val="99"/>
    <w:rsid w:val="0011318F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rsid w:val="0011318F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rsid w:val="0011318F"/>
    <w:pPr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rsid w:val="0011318F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11318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rsid w:val="0011318F"/>
    <w:rPr>
      <w:rFonts w:ascii="Times New Roman" w:eastAsia="MS Mincho" w:hAnsi="Times New Roman" w:cs="Times New Roman"/>
      <w:sz w:val="20"/>
      <w:szCs w:val="20"/>
      <w:lang w:val="uk-UA" w:eastAsia="uk-UA"/>
    </w:rPr>
  </w:style>
  <w:style w:type="character" w:styleId="a7">
    <w:name w:val="page number"/>
    <w:basedOn w:val="a0"/>
    <w:uiPriority w:val="99"/>
    <w:rsid w:val="0011318F"/>
    <w:rPr>
      <w:rFonts w:cs="Times New Roman"/>
    </w:rPr>
  </w:style>
  <w:style w:type="paragraph" w:styleId="a8">
    <w:name w:val="footer"/>
    <w:basedOn w:val="a"/>
    <w:link w:val="a9"/>
    <w:uiPriority w:val="99"/>
    <w:rsid w:val="0011318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11318F"/>
    <w:rPr>
      <w:rFonts w:ascii="Times New Roman" w:eastAsia="MS Mincho" w:hAnsi="Times New Roman" w:cs="Times New Roman"/>
      <w:sz w:val="20"/>
      <w:szCs w:val="20"/>
      <w:lang w:val="uk-UA" w:eastAsia="uk-UA"/>
    </w:rPr>
  </w:style>
  <w:style w:type="paragraph" w:customStyle="1" w:styleId="Just">
    <w:name w:val="Just"/>
    <w:uiPriority w:val="99"/>
    <w:rsid w:val="0011318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13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uiPriority w:val="99"/>
    <w:rsid w:val="0011318F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113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31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rsid w:val="00113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11318F"/>
    <w:rPr>
      <w:rFonts w:cs="Times New Roman"/>
      <w:b/>
    </w:rPr>
  </w:style>
  <w:style w:type="character" w:customStyle="1" w:styleId="11">
    <w:name w:val="Знак Знак1"/>
    <w:uiPriority w:val="99"/>
    <w:rsid w:val="0011318F"/>
    <w:rPr>
      <w:noProof/>
      <w:sz w:val="26"/>
      <w:lang w:val="uk-UA" w:eastAsia="ru-RU"/>
    </w:rPr>
  </w:style>
  <w:style w:type="paragraph" w:styleId="23">
    <w:name w:val="Body Text Indent 2"/>
    <w:basedOn w:val="a"/>
    <w:link w:val="24"/>
    <w:uiPriority w:val="99"/>
    <w:rsid w:val="0011318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131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uiPriority w:val="99"/>
    <w:rsid w:val="0011318F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rsid w:val="0011318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kwrd">
    <w:name w:val="kwrd"/>
    <w:uiPriority w:val="99"/>
    <w:rsid w:val="0011318F"/>
  </w:style>
  <w:style w:type="character" w:customStyle="1" w:styleId="apple-converted-space">
    <w:name w:val="apple-converted-space"/>
    <w:uiPriority w:val="99"/>
    <w:rsid w:val="0011318F"/>
  </w:style>
  <w:style w:type="paragraph" w:customStyle="1" w:styleId="ListParagraph1">
    <w:name w:val="List Paragraph1"/>
    <w:basedOn w:val="a"/>
    <w:uiPriority w:val="99"/>
    <w:rsid w:val="0011318F"/>
    <w:pPr>
      <w:ind w:left="720"/>
      <w:contextualSpacing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11318F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ru-RU"/>
    </w:rPr>
  </w:style>
  <w:style w:type="character" w:customStyle="1" w:styleId="af">
    <w:name w:val="Заголовок Знак"/>
    <w:basedOn w:val="a0"/>
    <w:link w:val="ae"/>
    <w:uiPriority w:val="99"/>
    <w:rsid w:val="0011318F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customStyle="1" w:styleId="rvps7">
    <w:name w:val="rvps7"/>
    <w:basedOn w:val="a"/>
    <w:uiPriority w:val="99"/>
    <w:rsid w:val="00113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11318F"/>
  </w:style>
  <w:style w:type="paragraph" w:customStyle="1" w:styleId="rvps2">
    <w:name w:val="rvps2"/>
    <w:basedOn w:val="a"/>
    <w:uiPriority w:val="99"/>
    <w:rsid w:val="00113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11318F"/>
  </w:style>
  <w:style w:type="character" w:styleId="af0">
    <w:name w:val="Hyperlink"/>
    <w:basedOn w:val="a0"/>
    <w:uiPriority w:val="99"/>
    <w:rsid w:val="0011318F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113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uiPriority w:val="99"/>
    <w:rsid w:val="0011318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1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131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2429</Words>
  <Characters>13846</Characters>
  <Application>Microsoft Office Word</Application>
  <DocSecurity>0</DocSecurity>
  <Lines>115</Lines>
  <Paragraphs>32</Paragraphs>
  <ScaleCrop>false</ScaleCrop>
  <Company/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2019-02-01T13:20:00Z</dcterms:created>
  <dcterms:modified xsi:type="dcterms:W3CDTF">2019-02-01T13:20:00Z</dcterms:modified>
</cp:coreProperties>
</file>